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D51F35" w:rsidRPr="00735679">
        <w:t xml:space="preserve"> </w:t>
      </w:r>
      <w:r w:rsidR="00823E26">
        <w:t>3</w:t>
      </w:r>
    </w:p>
    <w:p w:rsidR="00803119" w:rsidRDefault="00823E26" w:rsidP="00803119">
      <w:pPr>
        <w:pStyle w:val="Titre"/>
      </w:pPr>
      <w:r>
        <w:t xml:space="preserve">CH5 </w:t>
      </w:r>
      <w:r w:rsidR="00803119">
        <w:t>Synthèses et environnement</w:t>
      </w:r>
    </w:p>
    <w:p w:rsidR="00A5044D" w:rsidRDefault="00B3158E" w:rsidP="00A5044D">
      <w:pPr>
        <w:pStyle w:val="Aretenirtexte"/>
      </w:pPr>
      <w:r>
        <w:rPr>
          <w:b/>
        </w:rPr>
        <w:t xml:space="preserve">Fiche </w:t>
      </w:r>
      <w:r w:rsidR="00A5044D">
        <w:t>liées à cette séquence :</w:t>
      </w:r>
    </w:p>
    <w:p w:rsidR="00A5044D" w:rsidRDefault="00B3158E" w:rsidP="00A5044D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A2119D">
        <w:t>3</w:t>
      </w:r>
    </w:p>
    <w:p w:rsidR="001A6D59" w:rsidRDefault="00CD6C80" w:rsidP="00CD6C80">
      <w:pPr>
        <w:pStyle w:val="TitreActivit"/>
        <w:numPr>
          <w:ilvl w:val="0"/>
          <w:numId w:val="0"/>
        </w:numPr>
      </w:pPr>
      <w:r>
        <w:t xml:space="preserve">ACTIVITÉ </w:t>
      </w:r>
      <w:r w:rsidR="003C5BA7">
        <w:t>4</w:t>
      </w:r>
      <w:r>
        <w:t xml:space="preserve"> : </w:t>
      </w:r>
      <w:r w:rsidR="003C5BA7">
        <w:t xml:space="preserve">Réaction one pot : réaction de </w:t>
      </w:r>
      <w:proofErr w:type="spellStart"/>
      <w:r w:rsidR="003C5BA7">
        <w:t>Biginelli</w:t>
      </w:r>
      <w:proofErr w:type="spellEnd"/>
    </w:p>
    <w:p w:rsidR="001A6D59" w:rsidRDefault="001A6D59" w:rsidP="001A6D59"/>
    <w:p w:rsidR="004614BB" w:rsidRPr="004614BB" w:rsidRDefault="004614BB" w:rsidP="004614BB">
      <w:pPr>
        <w:autoSpaceDE w:val="0"/>
        <w:autoSpaceDN w:val="0"/>
        <w:adjustRightInd w:val="0"/>
        <w:spacing w:after="200"/>
        <w:rPr>
          <w:rFonts w:asciiTheme="minorHAnsi" w:hAnsiTheme="minorHAnsi" w:cs="Helvetica"/>
          <w:color w:val="000000"/>
          <w:szCs w:val="20"/>
          <w:lang w:eastAsia="fr-FR"/>
        </w:rPr>
      </w:pPr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La réaction de </w:t>
      </w:r>
      <w:proofErr w:type="spellStart"/>
      <w:r w:rsidRPr="004614BB">
        <w:rPr>
          <w:rFonts w:asciiTheme="minorHAnsi" w:hAnsiTheme="minorHAnsi" w:cs="Helvetica"/>
          <w:color w:val="000000"/>
          <w:szCs w:val="20"/>
          <w:lang w:eastAsia="fr-FR"/>
        </w:rPr>
        <w:t>Biginelli</w:t>
      </w:r>
      <w:proofErr w:type="spellEnd"/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 est une réaction « multi-composant » réalisée en « one-pot » : tous les réactifs sont placés en même temps dans le milieu réactionnel et vont réagir ensemble, en plusieurs étapes, afin de former une molécule de structure assez complexe.</w:t>
      </w:r>
      <w:bookmarkStart w:id="0" w:name="_GoBack"/>
      <w:bookmarkEnd w:id="0"/>
    </w:p>
    <w:p w:rsidR="004614BB" w:rsidRPr="004614BB" w:rsidRDefault="004614BB" w:rsidP="004614BB">
      <w:pPr>
        <w:autoSpaceDE w:val="0"/>
        <w:autoSpaceDN w:val="0"/>
        <w:adjustRightInd w:val="0"/>
        <w:spacing w:after="200"/>
        <w:rPr>
          <w:rFonts w:asciiTheme="minorHAnsi" w:hAnsiTheme="minorHAnsi" w:cs="Helvetica"/>
          <w:color w:val="000000"/>
          <w:szCs w:val="20"/>
          <w:lang w:eastAsia="fr-FR"/>
        </w:rPr>
      </w:pPr>
      <w:r w:rsidRPr="004614BB">
        <w:rPr>
          <w:rFonts w:asciiTheme="minorHAnsi" w:hAnsiTheme="minorHAnsi" w:cs="Helvetica"/>
          <w:color w:val="000000"/>
          <w:szCs w:val="20"/>
          <w:lang w:eastAsia="fr-FR"/>
        </w:rPr>
        <w:t>Cette réaction crée des 3,4-dihydropyrimidin-2(1</w:t>
      </w:r>
      <w:r w:rsidRPr="004614BB">
        <w:rPr>
          <w:rFonts w:asciiTheme="minorHAnsi" w:hAnsiTheme="minorHAnsi" w:cs="Helvetica"/>
          <w:i/>
          <w:iCs/>
          <w:color w:val="000000"/>
          <w:szCs w:val="20"/>
          <w:lang w:eastAsia="fr-FR"/>
        </w:rPr>
        <w:t>H</w:t>
      </w:r>
      <w:r w:rsidRPr="004614BB">
        <w:rPr>
          <w:rFonts w:asciiTheme="minorHAnsi" w:hAnsiTheme="minorHAnsi" w:cs="Helvetica"/>
          <w:color w:val="000000"/>
          <w:szCs w:val="20"/>
          <w:lang w:eastAsia="fr-FR"/>
        </w:rPr>
        <w:t>)-</w:t>
      </w:r>
      <w:proofErr w:type="spellStart"/>
      <w:r w:rsidRPr="004614BB">
        <w:rPr>
          <w:rFonts w:asciiTheme="minorHAnsi" w:hAnsiTheme="minorHAnsi" w:cs="Helvetica"/>
          <w:color w:val="000000"/>
          <w:szCs w:val="20"/>
          <w:lang w:eastAsia="fr-FR"/>
        </w:rPr>
        <w:t>ones</w:t>
      </w:r>
      <w:proofErr w:type="spellEnd"/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 à partir de l'</w:t>
      </w:r>
      <w:proofErr w:type="spellStart"/>
      <w:r w:rsidRPr="004614BB">
        <w:rPr>
          <w:rFonts w:asciiTheme="minorHAnsi" w:hAnsiTheme="minorHAnsi" w:cs="Helvetica"/>
          <w:color w:val="000000"/>
          <w:szCs w:val="20"/>
          <w:lang w:eastAsia="fr-FR"/>
        </w:rPr>
        <w:fldChar w:fldCharType="begin"/>
      </w:r>
      <w:r w:rsidRPr="004614BB">
        <w:rPr>
          <w:rFonts w:asciiTheme="minorHAnsi" w:hAnsiTheme="minorHAnsi" w:cs="Helvetica"/>
          <w:color w:val="000000"/>
          <w:szCs w:val="20"/>
          <w:lang w:eastAsia="fr-FR"/>
        </w:rPr>
        <w:instrText>HYPERLINK "https://fr.wikipedia.org/wiki/Ac%25C3%25A9toac%25C3%25A9tate_d%2527%25C3%25A9thyle"</w:instrText>
      </w:r>
      <w:r w:rsidRPr="004614BB">
        <w:rPr>
          <w:rFonts w:asciiTheme="minorHAnsi" w:hAnsiTheme="minorHAnsi" w:cs="Helvetica"/>
          <w:color w:val="000000"/>
          <w:szCs w:val="20"/>
          <w:lang w:eastAsia="fr-FR"/>
        </w:rPr>
        <w:fldChar w:fldCharType="separate"/>
      </w:r>
      <w:r w:rsidRPr="004614BB">
        <w:rPr>
          <w:rFonts w:asciiTheme="minorHAnsi" w:hAnsiTheme="minorHAnsi" w:cs="Helvetica"/>
          <w:color w:val="000000"/>
          <w:szCs w:val="20"/>
          <w:lang w:eastAsia="fr-FR"/>
        </w:rPr>
        <w:t>acétoacétate</w:t>
      </w:r>
      <w:proofErr w:type="spellEnd"/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 d'éthyle</w:t>
      </w:r>
      <w:r w:rsidRPr="004614BB">
        <w:rPr>
          <w:rFonts w:asciiTheme="minorHAnsi" w:hAnsiTheme="minorHAnsi" w:cs="Helvetica"/>
          <w:color w:val="000000"/>
          <w:szCs w:val="20"/>
          <w:lang w:eastAsia="fr-FR"/>
        </w:rPr>
        <w:fldChar w:fldCharType="end"/>
      </w:r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, d'un </w:t>
      </w:r>
      <w:hyperlink r:id="rId8" w:history="1"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>aldéhyde</w:t>
        </w:r>
      </w:hyperlink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 </w:t>
      </w:r>
      <w:hyperlink r:id="rId9" w:history="1"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>aromatique</w:t>
        </w:r>
      </w:hyperlink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 (tel que le </w:t>
      </w:r>
      <w:hyperlink r:id="rId10" w:history="1"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>benzaldéhyde</w:t>
        </w:r>
      </w:hyperlink>
      <w:r w:rsidRPr="004614BB">
        <w:rPr>
          <w:rFonts w:asciiTheme="minorHAnsi" w:hAnsiTheme="minorHAnsi" w:cs="Helvetica"/>
          <w:color w:val="000000"/>
          <w:szCs w:val="20"/>
          <w:lang w:eastAsia="fr-FR"/>
        </w:rPr>
        <w:t>), et l'</w:t>
      </w:r>
      <w:hyperlink r:id="rId11" w:history="1"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>urée</w:t>
        </w:r>
      </w:hyperlink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. Elle est nommée d'après le </w:t>
      </w:r>
      <w:hyperlink r:id="rId12" w:history="1"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>chimiste</w:t>
        </w:r>
      </w:hyperlink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 </w:t>
      </w:r>
      <w:hyperlink r:id="rId13" w:history="1"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>italien</w:t>
        </w:r>
      </w:hyperlink>
      <w:r w:rsidRPr="004614BB">
        <w:rPr>
          <w:rFonts w:asciiTheme="minorHAnsi" w:hAnsiTheme="minorHAnsi" w:cs="Helvetica"/>
          <w:color w:val="000000"/>
          <w:szCs w:val="20"/>
          <w:lang w:eastAsia="fr-FR"/>
        </w:rPr>
        <w:t xml:space="preserve"> </w:t>
      </w:r>
      <w:hyperlink r:id="rId14" w:history="1"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 xml:space="preserve">Pietro </w:t>
        </w:r>
        <w:proofErr w:type="spellStart"/>
        <w:r w:rsidRPr="004614BB">
          <w:rPr>
            <w:rFonts w:asciiTheme="minorHAnsi" w:hAnsiTheme="minorHAnsi" w:cs="Helvetica"/>
            <w:color w:val="000000"/>
            <w:szCs w:val="20"/>
            <w:lang w:eastAsia="fr-FR"/>
          </w:rPr>
          <w:t>Biginelli</w:t>
        </w:r>
        <w:proofErr w:type="spellEnd"/>
      </w:hyperlink>
      <w:r w:rsidRPr="004614BB">
        <w:rPr>
          <w:rFonts w:asciiTheme="minorHAnsi" w:hAnsiTheme="minorHAnsi" w:cs="Helvetica"/>
          <w:color w:val="000000"/>
          <w:szCs w:val="20"/>
          <w:lang w:eastAsia="fr-FR"/>
        </w:rPr>
        <w:t>.</w:t>
      </w:r>
    </w:p>
    <w:p w:rsidR="004614BB" w:rsidRPr="004614BB" w:rsidRDefault="004D5F58" w:rsidP="004614BB">
      <w:pPr>
        <w:autoSpaceDE w:val="0"/>
        <w:autoSpaceDN w:val="0"/>
        <w:adjustRightInd w:val="0"/>
        <w:spacing w:after="200"/>
        <w:jc w:val="center"/>
        <w:rPr>
          <w:rFonts w:asciiTheme="minorHAnsi" w:hAnsiTheme="minorHAnsi" w:cs="Helvetica"/>
          <w:color w:val="000000"/>
          <w:szCs w:val="20"/>
          <w:lang w:eastAsia="fr-FR"/>
        </w:rPr>
      </w:pPr>
      <w:r>
        <w:rPr>
          <w:rFonts w:asciiTheme="minorHAnsi" w:hAnsiTheme="minorHAnsi" w:cs="Helvetica"/>
          <w:noProof/>
          <w:color w:val="000000"/>
          <w:szCs w:val="20"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6.55pt;height:115.3pt;mso-width-percent:0;mso-height-percent:0;mso-width-percent:0;mso-height-percent:0">
            <v:imagedata r:id="rId15" o:title=""/>
          </v:shape>
        </w:pict>
      </w:r>
    </w:p>
    <w:p w:rsidR="004614BB" w:rsidRDefault="004614BB" w:rsidP="004614BB">
      <w:pPr>
        <w:autoSpaceDE w:val="0"/>
        <w:autoSpaceDN w:val="0"/>
        <w:adjustRightInd w:val="0"/>
        <w:spacing w:after="200"/>
        <w:rPr>
          <w:rFonts w:asciiTheme="minorHAnsi" w:hAnsiTheme="minorHAnsi" w:cs="Helvetica"/>
          <w:color w:val="000000"/>
          <w:szCs w:val="20"/>
          <w:lang w:eastAsia="fr-FR"/>
        </w:rPr>
      </w:pPr>
      <w:r w:rsidRPr="004614BB">
        <w:rPr>
          <w:rFonts w:asciiTheme="minorHAnsi" w:hAnsiTheme="minorHAnsi" w:cs="Helvetica"/>
          <w:color w:val="000000"/>
          <w:szCs w:val="20"/>
          <w:lang w:eastAsia="fr-FR"/>
        </w:rPr>
        <w:t>L’avantage de ce type de réaction est qu’il n’y a pas à intervenir pour réaliser des extractions lors des étapes intermédiaires, le produit final est obtenu directement.</w:t>
      </w:r>
    </w:p>
    <w:p w:rsidR="00E36764" w:rsidRDefault="00E36764" w:rsidP="004614BB">
      <w:pPr>
        <w:autoSpaceDE w:val="0"/>
        <w:autoSpaceDN w:val="0"/>
        <w:adjustRightInd w:val="0"/>
        <w:spacing w:after="200"/>
        <w:rPr>
          <w:rFonts w:asciiTheme="minorHAnsi" w:hAnsiTheme="minorHAnsi" w:cs="Helvetica"/>
          <w:color w:val="000000"/>
          <w:szCs w:val="20"/>
          <w:lang w:eastAsia="fr-FR"/>
        </w:rPr>
      </w:pPr>
      <w:r>
        <w:rPr>
          <w:rFonts w:asciiTheme="minorHAnsi" w:hAnsiTheme="minorHAnsi" w:cs="Helvetica"/>
          <w:color w:val="000000"/>
          <w:szCs w:val="20"/>
          <w:lang w:eastAsia="fr-FR"/>
        </w:rPr>
        <w:t>Le mode opératoire est donné ci-après à titre indicatif :</w:t>
      </w:r>
    </w:p>
    <w:p w:rsidR="00E36764" w:rsidRPr="00E36764" w:rsidRDefault="00E36764" w:rsidP="00E36764">
      <w:pPr>
        <w:spacing w:after="120" w:line="240" w:lineRule="auto"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 xml:space="preserve">Dans un ballon de 100 </w:t>
      </w:r>
      <w:proofErr w:type="spellStart"/>
      <w:r w:rsidRPr="00E36764">
        <w:rPr>
          <w:rFonts w:asciiTheme="minorHAnsi" w:hAnsiTheme="minorHAnsi" w:cs="Arial"/>
          <w:szCs w:val="20"/>
        </w:rPr>
        <w:t>mL</w:t>
      </w:r>
      <w:proofErr w:type="spellEnd"/>
      <w:r w:rsidRPr="00E36764">
        <w:rPr>
          <w:rFonts w:asciiTheme="minorHAnsi" w:hAnsiTheme="minorHAnsi" w:cs="Arial"/>
          <w:szCs w:val="20"/>
        </w:rPr>
        <w:t xml:space="preserve"> correctement équipé, introduire :</w:t>
      </w:r>
    </w:p>
    <w:p w:rsidR="00E36764" w:rsidRPr="00E36764" w:rsidRDefault="00E36764" w:rsidP="00E36764">
      <w:pPr>
        <w:numPr>
          <w:ilvl w:val="0"/>
          <w:numId w:val="36"/>
        </w:numPr>
        <w:spacing w:after="200" w:line="240" w:lineRule="auto"/>
        <w:contextualSpacing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>1,9 g d’urée,</w:t>
      </w:r>
    </w:p>
    <w:p w:rsidR="00E36764" w:rsidRPr="00E36764" w:rsidRDefault="00E36764" w:rsidP="00E36764">
      <w:pPr>
        <w:numPr>
          <w:ilvl w:val="0"/>
          <w:numId w:val="36"/>
        </w:numPr>
        <w:spacing w:after="200" w:line="240" w:lineRule="auto"/>
        <w:contextualSpacing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 xml:space="preserve">3,3 </w:t>
      </w:r>
      <w:proofErr w:type="spellStart"/>
      <w:r w:rsidRPr="00E36764">
        <w:rPr>
          <w:rFonts w:asciiTheme="minorHAnsi" w:hAnsiTheme="minorHAnsi" w:cs="Arial"/>
          <w:szCs w:val="20"/>
        </w:rPr>
        <w:t>mL</w:t>
      </w:r>
      <w:proofErr w:type="spellEnd"/>
      <w:r w:rsidRPr="00E36764">
        <w:rPr>
          <w:rFonts w:asciiTheme="minorHAnsi" w:hAnsiTheme="minorHAnsi" w:cs="Arial"/>
          <w:szCs w:val="20"/>
        </w:rPr>
        <w:t xml:space="preserve"> de benzaldéhyde</w:t>
      </w:r>
    </w:p>
    <w:p w:rsidR="00E36764" w:rsidRPr="00E36764" w:rsidRDefault="00E36764" w:rsidP="00E36764">
      <w:pPr>
        <w:numPr>
          <w:ilvl w:val="0"/>
          <w:numId w:val="36"/>
        </w:numPr>
        <w:spacing w:after="200" w:line="240" w:lineRule="auto"/>
        <w:contextualSpacing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 xml:space="preserve">6 </w:t>
      </w:r>
      <w:proofErr w:type="spellStart"/>
      <w:r w:rsidRPr="00E36764">
        <w:rPr>
          <w:rFonts w:asciiTheme="minorHAnsi" w:hAnsiTheme="minorHAnsi" w:cs="Arial"/>
          <w:szCs w:val="20"/>
        </w:rPr>
        <w:t>mL</w:t>
      </w:r>
      <w:proofErr w:type="spellEnd"/>
      <w:r w:rsidRPr="00E36764">
        <w:rPr>
          <w:rFonts w:asciiTheme="minorHAnsi" w:hAnsiTheme="minorHAnsi" w:cs="Arial"/>
          <w:szCs w:val="20"/>
        </w:rPr>
        <w:t xml:space="preserve"> d’</w:t>
      </w:r>
      <w:proofErr w:type="spellStart"/>
      <w:r w:rsidRPr="00E36764">
        <w:rPr>
          <w:rFonts w:asciiTheme="minorHAnsi" w:hAnsiTheme="minorHAnsi" w:cs="Arial"/>
          <w:szCs w:val="20"/>
        </w:rPr>
        <w:t>acétoacétate</w:t>
      </w:r>
      <w:proofErr w:type="spellEnd"/>
      <w:r w:rsidRPr="00E36764">
        <w:rPr>
          <w:rFonts w:asciiTheme="minorHAnsi" w:hAnsiTheme="minorHAnsi" w:cs="Arial"/>
          <w:szCs w:val="20"/>
        </w:rPr>
        <w:t xml:space="preserve"> d’éthyle</w:t>
      </w:r>
    </w:p>
    <w:p w:rsidR="00E36764" w:rsidRPr="00E36764" w:rsidRDefault="00E36764" w:rsidP="00E36764">
      <w:pPr>
        <w:numPr>
          <w:ilvl w:val="0"/>
          <w:numId w:val="36"/>
        </w:numPr>
        <w:spacing w:after="200" w:line="240" w:lineRule="auto"/>
        <w:contextualSpacing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 xml:space="preserve">25 </w:t>
      </w:r>
      <w:proofErr w:type="spellStart"/>
      <w:r w:rsidRPr="00E36764">
        <w:rPr>
          <w:rFonts w:asciiTheme="minorHAnsi" w:hAnsiTheme="minorHAnsi" w:cs="Arial"/>
          <w:szCs w:val="20"/>
        </w:rPr>
        <w:t>mL</w:t>
      </w:r>
      <w:proofErr w:type="spellEnd"/>
      <w:r w:rsidRPr="00E36764">
        <w:rPr>
          <w:rFonts w:asciiTheme="minorHAnsi" w:hAnsiTheme="minorHAnsi" w:cs="Arial"/>
          <w:szCs w:val="20"/>
        </w:rPr>
        <w:t xml:space="preserve"> d’éthanol</w:t>
      </w:r>
    </w:p>
    <w:p w:rsidR="00E36764" w:rsidRPr="00E36764" w:rsidRDefault="00E36764" w:rsidP="00E36764">
      <w:pPr>
        <w:numPr>
          <w:ilvl w:val="0"/>
          <w:numId w:val="36"/>
        </w:numPr>
        <w:spacing w:after="200" w:line="240" w:lineRule="auto"/>
        <w:contextualSpacing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>10 gouttes d’acide chlorhydrique concentré.</w:t>
      </w:r>
    </w:p>
    <w:p w:rsidR="00E36764" w:rsidRPr="00E36764" w:rsidRDefault="00E36764" w:rsidP="00E36764">
      <w:pPr>
        <w:spacing w:line="240" w:lineRule="auto"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 xml:space="preserve">Chauffer à reflux pendant 1 h 30, puis refroidir dans un bain de glace. Filtrer sur </w:t>
      </w:r>
      <w:proofErr w:type="spellStart"/>
      <w:r w:rsidRPr="00E36764">
        <w:rPr>
          <w:rFonts w:asciiTheme="minorHAnsi" w:hAnsiTheme="minorHAnsi" w:cs="Arial"/>
          <w:szCs w:val="20"/>
        </w:rPr>
        <w:t>büchner</w:t>
      </w:r>
      <w:proofErr w:type="spellEnd"/>
      <w:r w:rsidRPr="00E36764">
        <w:rPr>
          <w:rFonts w:asciiTheme="minorHAnsi" w:hAnsiTheme="minorHAnsi" w:cs="Arial"/>
          <w:szCs w:val="20"/>
        </w:rPr>
        <w:t xml:space="preserve"> et laver avec de l’éthanol froid.</w:t>
      </w:r>
    </w:p>
    <w:p w:rsidR="00E36764" w:rsidRPr="00E36764" w:rsidRDefault="00E36764" w:rsidP="00E36764">
      <w:pPr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szCs w:val="20"/>
        </w:rPr>
        <w:t>Après passage à l’étuve à 100 °C, peser le produit sec obtenu.</w:t>
      </w:r>
    </w:p>
    <w:p w:rsidR="00FB38D0" w:rsidRDefault="00FB38D0" w:rsidP="00E36764">
      <w:pPr>
        <w:rPr>
          <w:rFonts w:asciiTheme="minorHAnsi" w:hAnsiTheme="minorHAnsi" w:cs="Helvetica"/>
          <w:color w:val="000000"/>
          <w:szCs w:val="20"/>
          <w:lang w:eastAsia="fr-FR"/>
        </w:rPr>
      </w:pPr>
    </w:p>
    <w:p w:rsidR="001A6D59" w:rsidRPr="00A87B20" w:rsidRDefault="00E36764" w:rsidP="00A87B20">
      <w:pPr>
        <w:rPr>
          <w:u w:val="single"/>
        </w:rPr>
      </w:pPr>
      <w:r w:rsidRPr="00E36764">
        <w:rPr>
          <w:u w:val="single"/>
        </w:rPr>
        <w:t>Question</w:t>
      </w:r>
      <w:r w:rsidR="00A87B20">
        <w:rPr>
          <w:rFonts w:cs="Calibri"/>
          <w:szCs w:val="20"/>
        </w:rPr>
        <w:t xml:space="preserve"> : </w:t>
      </w:r>
      <w:r w:rsidR="00266AB2">
        <w:rPr>
          <w:rFonts w:cs="Calibri"/>
          <w:szCs w:val="20"/>
        </w:rPr>
        <w:t>En vous aidant de l’annexe, quels principes de la chimie verte respecte le protocole ci-dessus ?</w:t>
      </w:r>
    </w:p>
    <w:p w:rsidR="00E36764" w:rsidRDefault="00E36764" w:rsidP="00012443">
      <w:pPr>
        <w:pStyle w:val="CorpsA"/>
        <w:spacing w:after="60"/>
        <w:jc w:val="both"/>
        <w:rPr>
          <w:rFonts w:ascii="Calibri" w:eastAsia="Calibri" w:hAnsi="Calibri" w:cs="Calibri"/>
          <w:sz w:val="20"/>
          <w:szCs w:val="20"/>
        </w:rPr>
      </w:pPr>
    </w:p>
    <w:p w:rsidR="00266AB2" w:rsidRDefault="00266AB2">
      <w:pPr>
        <w:spacing w:line="240" w:lineRule="auto"/>
        <w:jc w:val="left"/>
        <w:rPr>
          <w:rFonts w:asciiTheme="minorHAnsi" w:hAnsiTheme="minorHAnsi" w:cs="Arial"/>
          <w:b/>
          <w:szCs w:val="20"/>
          <w:u w:val="single"/>
        </w:rPr>
      </w:pPr>
      <w:r>
        <w:rPr>
          <w:rFonts w:asciiTheme="minorHAnsi" w:hAnsiTheme="minorHAnsi" w:cs="Arial"/>
          <w:b/>
          <w:szCs w:val="20"/>
          <w:u w:val="single"/>
        </w:rPr>
        <w:br w:type="page"/>
      </w:r>
    </w:p>
    <w:p w:rsidR="00E36764" w:rsidRPr="00E36764" w:rsidRDefault="00E36764" w:rsidP="00E36764">
      <w:pPr>
        <w:jc w:val="center"/>
        <w:rPr>
          <w:rFonts w:asciiTheme="minorHAnsi" w:hAnsiTheme="minorHAnsi" w:cs="Arial"/>
          <w:szCs w:val="20"/>
        </w:rPr>
      </w:pPr>
      <w:r w:rsidRPr="00E36764">
        <w:rPr>
          <w:rFonts w:asciiTheme="minorHAnsi" w:hAnsiTheme="minorHAnsi" w:cs="Arial"/>
          <w:b/>
          <w:szCs w:val="20"/>
          <w:u w:val="single"/>
        </w:rPr>
        <w:lastRenderedPageBreak/>
        <w:t>Annexe : extrait des douze principes de la chimie verte</w:t>
      </w:r>
    </w:p>
    <w:p w:rsidR="00E36764" w:rsidRPr="00E36764" w:rsidRDefault="00E36764" w:rsidP="00E36764">
      <w:pPr>
        <w:pStyle w:val="Default"/>
        <w:jc w:val="center"/>
        <w:rPr>
          <w:rFonts w:asciiTheme="minorHAnsi" w:hAnsiTheme="minorHAnsi" w:cs="Arial"/>
          <w:sz w:val="20"/>
          <w:szCs w:val="20"/>
        </w:rPr>
      </w:pP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1. La prévention de la pollution à la source en évitant la production de résidus.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2. L’économie d'atomes et d’étapes qui permet de réaliser, à moindre coût, l’incorporation de fonctionnalités dans les produits recherchés tout en limitant les problèmes de séparation et de purification.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3. La conception de synthèses moins dangereuses grâce à l’utilisation de conditions douces et la préparation de produits peu ou pas toxiques pour l’homme et l'environnement.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4. La conception de produits chimiques moins toxiques avec la mise au point de molécules plus sélectives et non toxiques […].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5. La recherche d’alternatives aux solvants polluants et aux auxiliaires de synthèse.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6. La limitation des dépenses énergétiques avec la mise au point de nouveaux matériaux pour le stockage de l’énergie et la recherche de nouvelles sources d’énergie à faible teneur en carbone.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7. L'utilisation de ressources renouvelables à la place des produits fossiles […].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8. La réduction du nombre de dérivés en minimisant l'utilisation de groupes protecteurs ou auxiliaires.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>9. L’utilisation des procédés catalytiques de préférence aux procédés stœchiométriques avec la recherche de nouveaux réactifs plus efficaces et minimisant les risques en terme de manipulation et de toxicité […].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10. La conception des produits en vue de leur dégradation finale dans des conditions naturelles ou forcées de manière à minimiser l’incidence sur l’environnement.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 xml:space="preserve">11. La mise au point des méthodologies d'analyses en temps réel pour prévenir la pollution, en contrôlant le suivi des réactions chimiques […]. </w:t>
      </w:r>
    </w:p>
    <w:p w:rsidR="00E36764" w:rsidRPr="00E36764" w:rsidRDefault="00E36764" w:rsidP="00E36764">
      <w:pPr>
        <w:pStyle w:val="Default"/>
        <w:spacing w:before="120"/>
        <w:ind w:left="520" w:hanging="340"/>
        <w:jc w:val="both"/>
        <w:rPr>
          <w:rFonts w:asciiTheme="minorHAnsi" w:hAnsiTheme="minorHAnsi" w:cs="Arial"/>
          <w:sz w:val="20"/>
          <w:szCs w:val="20"/>
        </w:rPr>
      </w:pPr>
      <w:r w:rsidRPr="00E36764">
        <w:rPr>
          <w:rFonts w:asciiTheme="minorHAnsi" w:hAnsiTheme="minorHAnsi" w:cs="Arial"/>
          <w:sz w:val="20"/>
          <w:szCs w:val="20"/>
        </w:rPr>
        <w:t>12. Le développement d’une chimie fondamentalement plus sûre pour prévenir les accidents, explosions, incendies et émissions de composés dangereux.</w:t>
      </w:r>
    </w:p>
    <w:p w:rsidR="00E36764" w:rsidRPr="001A6D59" w:rsidRDefault="00E36764" w:rsidP="00012443">
      <w:pPr>
        <w:pStyle w:val="CorpsA"/>
        <w:spacing w:after="60"/>
        <w:jc w:val="both"/>
        <w:rPr>
          <w:rFonts w:ascii="Calibri" w:eastAsia="Calibri" w:hAnsi="Calibri" w:cs="Calibri"/>
          <w:sz w:val="20"/>
          <w:szCs w:val="20"/>
        </w:rPr>
      </w:pPr>
    </w:p>
    <w:p w:rsidR="00F92BDF" w:rsidRDefault="00012443" w:rsidP="00F92BDF">
      <w:pPr>
        <w:pStyle w:val="Titre"/>
      </w:pPr>
      <w:r>
        <w:br w:type="page"/>
      </w:r>
      <w:r w:rsidR="00F92BDF">
        <w:lastRenderedPageBreak/>
        <w:t>Les C</w:t>
      </w:r>
      <w:r w:rsidR="004A0710">
        <w:t>onnaissances et capacités à maîtriser</w:t>
      </w:r>
    </w:p>
    <w:p w:rsidR="00E34D00" w:rsidRPr="00E34D00" w:rsidRDefault="00E34D00" w:rsidP="00E34D00">
      <w:pPr>
        <w:pStyle w:val="TitreCCM"/>
      </w:pPr>
      <w:r w:rsidRPr="00E34D00">
        <w:t>Ce qu’il faut savoir :</w:t>
      </w:r>
    </w:p>
    <w:p w:rsidR="00E34D00" w:rsidRPr="00E34D00" w:rsidRDefault="00E34D00" w:rsidP="00E34D00">
      <w:pPr>
        <w:pStyle w:val="Titre3"/>
      </w:pPr>
      <w:r w:rsidRPr="00E34D00">
        <w:t>Le vocabulaire à savoir définir et utiliser à bon escient :</w:t>
      </w:r>
    </w:p>
    <w:p w:rsidR="00FB1DD2" w:rsidRDefault="000924A7" w:rsidP="00E34D00">
      <w:pPr>
        <w:numPr>
          <w:ilvl w:val="0"/>
          <w:numId w:val="22"/>
        </w:numPr>
        <w:contextualSpacing/>
      </w:pPr>
      <w:r>
        <w:t>Chimie verte</w:t>
      </w:r>
    </w:p>
    <w:p w:rsidR="00E34D00" w:rsidRDefault="000924A7" w:rsidP="00E34D00">
      <w:pPr>
        <w:numPr>
          <w:ilvl w:val="0"/>
          <w:numId w:val="22"/>
        </w:numPr>
        <w:contextualSpacing/>
      </w:pPr>
      <w:r>
        <w:t>Développement durable</w:t>
      </w:r>
    </w:p>
    <w:p w:rsidR="000924A7" w:rsidRDefault="000924A7" w:rsidP="00E34D00">
      <w:pPr>
        <w:numPr>
          <w:ilvl w:val="0"/>
          <w:numId w:val="22"/>
        </w:numPr>
        <w:contextualSpacing/>
      </w:pPr>
      <w:r>
        <w:t>Les 12 principes de la chimie verte</w:t>
      </w:r>
    </w:p>
    <w:p w:rsidR="00B66358" w:rsidRPr="00E34D00" w:rsidRDefault="00B66358" w:rsidP="00B66358">
      <w:pPr>
        <w:pStyle w:val="Titre3"/>
      </w:pPr>
      <w:r w:rsidRPr="00E34D00">
        <w:t xml:space="preserve">Les </w:t>
      </w:r>
      <w:r>
        <w:t>relations à connaître et à savoir exploiter :</w:t>
      </w:r>
    </w:p>
    <w:p w:rsidR="00B66358" w:rsidRPr="00E34D00" w:rsidRDefault="000924A7" w:rsidP="00B66358">
      <w:pPr>
        <w:numPr>
          <w:ilvl w:val="0"/>
          <w:numId w:val="23"/>
        </w:numPr>
        <w:contextualSpacing/>
      </w:pPr>
      <w:r>
        <w:t>Utilisation Atomique</w:t>
      </w:r>
    </w:p>
    <w:p w:rsidR="00E34D00" w:rsidRPr="00E34D00" w:rsidRDefault="00E34D00" w:rsidP="00E34D00">
      <w:pPr>
        <w:pStyle w:val="TitreCCM"/>
      </w:pPr>
      <w:r w:rsidRPr="00E34D00">
        <w:t>Ce qu’il faut savoir faire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448"/>
        <w:gridCol w:w="3065"/>
      </w:tblGrid>
      <w:tr w:rsidR="008D2FAC" w:rsidTr="008D2FAC"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8D2FAC" w:rsidRDefault="008D2FAC">
            <w:pPr>
              <w:spacing w:before="120" w:after="120" w:line="240" w:lineRule="auto"/>
              <w:jc w:val="left"/>
              <w:rPr>
                <w:b/>
                <w:color w:val="FFFFFF"/>
                <w:sz w:val="22"/>
              </w:rPr>
            </w:pPr>
            <w:r>
              <w:rPr>
                <w:b/>
                <w:color w:val="FFFFFF"/>
                <w:sz w:val="22"/>
              </w:rPr>
              <w:t>Compétences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8D2FAC" w:rsidRDefault="008D2FAC">
            <w:pPr>
              <w:spacing w:before="120" w:after="120" w:line="240" w:lineRule="auto"/>
              <w:jc w:val="left"/>
              <w:rPr>
                <w:b/>
                <w:color w:val="FFFFFF"/>
                <w:sz w:val="22"/>
              </w:rPr>
            </w:pPr>
            <w:r>
              <w:rPr>
                <w:b/>
                <w:color w:val="FFFFFF"/>
                <w:sz w:val="22"/>
              </w:rPr>
              <w:t>Capacités à maîtriser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8D2FAC" w:rsidRDefault="008D2FAC">
            <w:pPr>
              <w:spacing w:before="120" w:after="120" w:line="240" w:lineRule="auto"/>
              <w:jc w:val="left"/>
              <w:rPr>
                <w:b/>
                <w:color w:val="FFFFFF"/>
                <w:sz w:val="22"/>
              </w:rPr>
            </w:pPr>
            <w:r>
              <w:rPr>
                <w:b/>
                <w:color w:val="FFFFFF"/>
                <w:sz w:val="22"/>
              </w:rPr>
              <w:t>Où dans cette séquence ?</w:t>
            </w:r>
          </w:p>
        </w:tc>
      </w:tr>
      <w:tr w:rsidR="008D2FAC" w:rsidTr="008D2FAC"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RCO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948A54" w:themeColor="background2" w:themeShade="80"/>
                <w:szCs w:val="20"/>
                <w:lang w:eastAsia="fr-FR"/>
              </w:rPr>
              <w:t>Citer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les exigences en matière de chimie « verte » ou durable, en ce qui concerne les choix des matières premières, des réactions et des procédés, ainsi que d’éco-compatibilité du produit formé. 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</w:pPr>
            <w:r>
              <w:t>Activité n°1</w:t>
            </w:r>
          </w:p>
        </w:tc>
      </w:tr>
      <w:tr w:rsidR="008D2FAC" w:rsidTr="008D2FA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left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948A54" w:themeColor="background2" w:themeShade="80"/>
                <w:szCs w:val="20"/>
                <w:lang w:eastAsia="fr-FR"/>
              </w:rPr>
              <w:t>Citer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quelques utilisations importantes des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agroressources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en synthèse organique.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</w:pPr>
            <w:r>
              <w:t>Activité n°3</w:t>
            </w:r>
          </w:p>
        </w:tc>
      </w:tr>
      <w:tr w:rsidR="008D2FAC" w:rsidTr="008D2FAC">
        <w:trPr>
          <w:trHeight w:val="566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APP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b/>
                <w:color w:val="948A54"/>
                <w:szCs w:val="20"/>
              </w:rPr>
              <w:t>Reconnaître</w:t>
            </w:r>
            <w:r>
              <w:rPr>
                <w:color w:val="948A54"/>
                <w:szCs w:val="20"/>
              </w:rPr>
              <w:t xml:space="preserve"> 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une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hémisynthèse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dans la description d’un protocole. 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</w:pPr>
            <w:r>
              <w:t>Activité n°2</w:t>
            </w:r>
          </w:p>
        </w:tc>
      </w:tr>
      <w:tr w:rsidR="008D2FAC" w:rsidTr="008D2F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left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jc w:val="left"/>
              <w:rPr>
                <w:b/>
                <w:color w:val="948A54"/>
                <w:szCs w:val="20"/>
              </w:rPr>
            </w:pPr>
            <w:r>
              <w:rPr>
                <w:rFonts w:eastAsia="Times New Roman" w:cs="Arial"/>
                <w:b/>
                <w:color w:val="948A54" w:themeColor="background2" w:themeShade="80"/>
                <w:szCs w:val="20"/>
                <w:lang w:eastAsia="fr-FR"/>
              </w:rPr>
              <w:t>Illustrer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la part croissante des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agroressources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en tant que matières premières.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</w:pPr>
            <w:r>
              <w:t>Activité n°3</w:t>
            </w:r>
          </w:p>
        </w:tc>
      </w:tr>
      <w:tr w:rsidR="00266AB2" w:rsidTr="00C45E48"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AB2" w:rsidRDefault="00266AB2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ANA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B2" w:rsidRDefault="00266AB2">
            <w:pPr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b/>
                <w:color w:val="948A54"/>
                <w:szCs w:val="20"/>
              </w:rPr>
              <w:t>Comparer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les avantages et les inconvénients de différents procédés de synthèse. 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AB2" w:rsidRDefault="00266AB2">
            <w:pPr>
              <w:spacing w:line="240" w:lineRule="auto"/>
              <w:jc w:val="center"/>
            </w:pPr>
            <w:r>
              <w:t>Activité n°1</w:t>
            </w:r>
          </w:p>
        </w:tc>
      </w:tr>
      <w:tr w:rsidR="00266AB2" w:rsidTr="00C45E48"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2" w:rsidRDefault="00266AB2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2" w:rsidRDefault="00266AB2">
            <w:pPr>
              <w:jc w:val="left"/>
              <w:rPr>
                <w:b/>
                <w:color w:val="948A54"/>
                <w:szCs w:val="20"/>
              </w:rPr>
            </w:pPr>
            <w:r>
              <w:rPr>
                <w:b/>
                <w:color w:val="948A54"/>
                <w:szCs w:val="20"/>
              </w:rPr>
              <w:t>Citer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les principes de la chimie verte que respecte un protocole de synthèse donné.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AB2" w:rsidRDefault="00266AB2">
            <w:pPr>
              <w:spacing w:line="240" w:lineRule="auto"/>
              <w:jc w:val="center"/>
            </w:pPr>
            <w:r>
              <w:t>Activité n°4</w:t>
            </w:r>
          </w:p>
        </w:tc>
      </w:tr>
      <w:tr w:rsidR="008D2FAC" w:rsidTr="008D2FAC"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REA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b/>
                <w:color w:val="948A54"/>
                <w:szCs w:val="20"/>
              </w:rPr>
              <w:t>Réaliser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l’extraction d’une espèce naturelle.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</w:pPr>
            <w:r>
              <w:t>Activité n°2</w:t>
            </w:r>
          </w:p>
        </w:tc>
      </w:tr>
      <w:tr w:rsidR="008D2FAC" w:rsidTr="008D2FAC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left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left"/>
              <w:rPr>
                <w:b/>
                <w:color w:val="948A54"/>
                <w:szCs w:val="20"/>
              </w:rPr>
            </w:pPr>
            <w:r>
              <w:rPr>
                <w:b/>
                <w:color w:val="948A54"/>
                <w:szCs w:val="20"/>
              </w:rPr>
              <w:t xml:space="preserve">Mettre en </w:t>
            </w:r>
            <w:proofErr w:type="spellStart"/>
            <w:r>
              <w:rPr>
                <w:b/>
                <w:color w:val="948A54"/>
                <w:szCs w:val="20"/>
              </w:rPr>
              <w:t>oeuvre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une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hémisynthèse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à partir d’une espèce naturelle précédemment extraite.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FAC" w:rsidRDefault="008D2FAC">
            <w:pPr>
              <w:spacing w:line="240" w:lineRule="auto"/>
              <w:jc w:val="center"/>
            </w:pPr>
            <w:r>
              <w:t>Activité n°2</w:t>
            </w:r>
          </w:p>
        </w:tc>
      </w:tr>
    </w:tbl>
    <w:p w:rsidR="00F92BDF" w:rsidRPr="00F92BDF" w:rsidRDefault="00F92BDF" w:rsidP="00F92BDF"/>
    <w:sectPr w:rsidR="00F92BDF" w:rsidRPr="00F92BDF" w:rsidSect="00782487">
      <w:headerReference w:type="default" r:id="rId16"/>
      <w:footerReference w:type="default" r:id="rId17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F58" w:rsidRDefault="004D5F58" w:rsidP="00B84075">
      <w:pPr>
        <w:spacing w:line="240" w:lineRule="auto"/>
      </w:pPr>
      <w:r>
        <w:separator/>
      </w:r>
    </w:p>
    <w:p w:rsidR="004D5F58" w:rsidRDefault="004D5F58"/>
  </w:endnote>
  <w:endnote w:type="continuationSeparator" w:id="0">
    <w:p w:rsidR="004D5F58" w:rsidRDefault="004D5F58" w:rsidP="00B84075">
      <w:pPr>
        <w:spacing w:line="240" w:lineRule="auto"/>
      </w:pPr>
      <w:r>
        <w:continuationSeparator/>
      </w:r>
    </w:p>
    <w:p w:rsidR="004D5F58" w:rsidRDefault="004D5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IN-Medium">
    <w:altName w:val="DIN-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A7" w:rsidRPr="00F92BDF" w:rsidRDefault="000924A7" w:rsidP="00F92BDF">
    <w:pPr>
      <w:pStyle w:val="Pieddepage"/>
      <w:jc w:val="right"/>
      <w:rPr>
        <w:color w:val="7F7F7F"/>
      </w:rPr>
    </w:pPr>
    <w:proofErr w:type="gramStart"/>
    <w:r w:rsidRPr="00F92BDF">
      <w:rPr>
        <w:color w:val="7F7F7F"/>
      </w:rPr>
      <w:t>page</w:t>
    </w:r>
    <w:proofErr w:type="gramEnd"/>
    <w:r w:rsidRPr="00F92BDF">
      <w:rPr>
        <w:color w:val="7F7F7F"/>
      </w:rPr>
      <w:t xml:space="preserve"> </w:t>
    </w:r>
    <w:r w:rsidR="00B96887" w:rsidRPr="00F92BDF">
      <w:rPr>
        <w:color w:val="7F7F7F"/>
      </w:rPr>
      <w:fldChar w:fldCharType="begin"/>
    </w:r>
    <w:r w:rsidRPr="00F92BDF">
      <w:rPr>
        <w:color w:val="7F7F7F"/>
      </w:rPr>
      <w:instrText>PAGE   \* MERGEFORMAT</w:instrText>
    </w:r>
    <w:r w:rsidR="00B96887" w:rsidRPr="00F92BDF">
      <w:rPr>
        <w:color w:val="7F7F7F"/>
      </w:rPr>
      <w:fldChar w:fldCharType="separate"/>
    </w:r>
    <w:r w:rsidR="00A2119D">
      <w:rPr>
        <w:noProof/>
        <w:color w:val="7F7F7F"/>
      </w:rPr>
      <w:t>1</w:t>
    </w:r>
    <w:r w:rsidR="00B96887" w:rsidRPr="00F92BDF">
      <w:rPr>
        <w:color w:val="7F7F7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F58" w:rsidRDefault="004D5F58" w:rsidP="00B84075">
      <w:pPr>
        <w:spacing w:line="240" w:lineRule="auto"/>
      </w:pPr>
      <w:r>
        <w:separator/>
      </w:r>
    </w:p>
    <w:p w:rsidR="004D5F58" w:rsidRDefault="004D5F58"/>
  </w:footnote>
  <w:footnote w:type="continuationSeparator" w:id="0">
    <w:p w:rsidR="004D5F58" w:rsidRDefault="004D5F58" w:rsidP="00B84075">
      <w:pPr>
        <w:spacing w:line="240" w:lineRule="auto"/>
      </w:pPr>
      <w:r>
        <w:continuationSeparator/>
      </w:r>
    </w:p>
    <w:p w:rsidR="004D5F58" w:rsidRDefault="004D5F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A7" w:rsidRPr="00803119" w:rsidRDefault="00A5044D" w:rsidP="00564D13">
    <w:pPr>
      <w:pStyle w:val="En-tte"/>
    </w:pPr>
    <w:r>
      <w:t>1</w:t>
    </w:r>
    <w:r w:rsidRPr="007C5A2E">
      <w:rPr>
        <w:vertAlign w:val="superscript"/>
      </w:rPr>
      <w:t>ère</w:t>
    </w:r>
    <w:r w:rsidRPr="00B84075">
      <w:t xml:space="preserve"> STL – SPCL </w:t>
    </w:r>
    <w:r>
      <w:t>Chimie développement durable</w:t>
    </w:r>
    <w:r w:rsidRPr="00B84075">
      <w:tab/>
    </w:r>
    <w:r>
      <w:t xml:space="preserve">                            Fiche d’activités – </w:t>
    </w:r>
    <w:r w:rsidR="00823E26"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257"/>
    <w:multiLevelType w:val="hybridMultilevel"/>
    <w:tmpl w:val="FE4C5C0E"/>
    <w:numStyleLink w:val="Style6import"/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3530C"/>
    <w:multiLevelType w:val="hybridMultilevel"/>
    <w:tmpl w:val="F98E4748"/>
    <w:lvl w:ilvl="0" w:tplc="F1783F4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8BF5B74"/>
    <w:multiLevelType w:val="hybridMultilevel"/>
    <w:tmpl w:val="99749D0E"/>
    <w:numStyleLink w:val="Style8import"/>
  </w:abstractNum>
  <w:abstractNum w:abstractNumId="16">
    <w:nsid w:val="28FC09D7"/>
    <w:multiLevelType w:val="hybridMultilevel"/>
    <w:tmpl w:val="53766706"/>
    <w:lvl w:ilvl="0" w:tplc="C134712E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4F51E2"/>
    <w:multiLevelType w:val="hybridMultilevel"/>
    <w:tmpl w:val="2402B368"/>
    <w:styleLink w:val="Style7import"/>
    <w:lvl w:ilvl="0" w:tplc="55086654">
      <w:start w:val="1"/>
      <w:numFmt w:val="bullet"/>
      <w:lvlText w:val="«"/>
      <w:lvlJc w:val="left"/>
      <w:pPr>
        <w:ind w:left="180" w:hanging="180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084C052">
      <w:start w:val="1"/>
      <w:numFmt w:val="bullet"/>
      <w:lvlText w:val="«"/>
      <w:lvlJc w:val="left"/>
      <w:pPr>
        <w:ind w:left="3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D20B66">
      <w:start w:val="1"/>
      <w:numFmt w:val="bullet"/>
      <w:lvlText w:val="«"/>
      <w:lvlJc w:val="left"/>
      <w:pPr>
        <w:ind w:left="5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944717A">
      <w:start w:val="1"/>
      <w:numFmt w:val="bullet"/>
      <w:lvlText w:val="«"/>
      <w:lvlJc w:val="left"/>
      <w:pPr>
        <w:ind w:left="7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221758">
      <w:start w:val="1"/>
      <w:numFmt w:val="bullet"/>
      <w:lvlText w:val="«"/>
      <w:lvlJc w:val="left"/>
      <w:pPr>
        <w:ind w:left="88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6C57B4">
      <w:start w:val="1"/>
      <w:numFmt w:val="bullet"/>
      <w:lvlText w:val="«"/>
      <w:lvlJc w:val="left"/>
      <w:pPr>
        <w:ind w:left="106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9E9D50">
      <w:start w:val="1"/>
      <w:numFmt w:val="bullet"/>
      <w:lvlText w:val="«"/>
      <w:lvlJc w:val="left"/>
      <w:pPr>
        <w:ind w:left="12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CE0340">
      <w:start w:val="1"/>
      <w:numFmt w:val="bullet"/>
      <w:lvlText w:val="«"/>
      <w:lvlJc w:val="left"/>
      <w:pPr>
        <w:ind w:left="14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1821CBA">
      <w:start w:val="1"/>
      <w:numFmt w:val="bullet"/>
      <w:lvlText w:val="«"/>
      <w:lvlJc w:val="left"/>
      <w:pPr>
        <w:ind w:left="16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FDE4A00"/>
    <w:multiLevelType w:val="hybridMultilevel"/>
    <w:tmpl w:val="99749D0E"/>
    <w:styleLink w:val="Style8import"/>
    <w:lvl w:ilvl="0" w:tplc="A84CDA88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06E618B"/>
    <w:multiLevelType w:val="hybridMultilevel"/>
    <w:tmpl w:val="2402B368"/>
    <w:numStyleLink w:val="Style7import"/>
  </w:abstractNum>
  <w:abstractNum w:abstractNumId="24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82E251A"/>
    <w:multiLevelType w:val="hybridMultilevel"/>
    <w:tmpl w:val="FE4C5C0E"/>
    <w:styleLink w:val="Style6import"/>
    <w:lvl w:ilvl="0" w:tplc="21C26186">
      <w:start w:val="1"/>
      <w:numFmt w:val="upperLetter"/>
      <w:lvlText w:val="%1."/>
      <w:lvlJc w:val="left"/>
      <w:pPr>
        <w:ind w:left="1113" w:hanging="39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2E9B9A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E7E98">
      <w:start w:val="1"/>
      <w:numFmt w:val="lowerRoman"/>
      <w:lvlText w:val="%3."/>
      <w:lvlJc w:val="left"/>
      <w:pPr>
        <w:ind w:left="25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1CDA3A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DED9DC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129494">
      <w:start w:val="1"/>
      <w:numFmt w:val="lowerRoman"/>
      <w:lvlText w:val="%6."/>
      <w:lvlJc w:val="left"/>
      <w:pPr>
        <w:ind w:left="46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781594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9EB3C8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325C54">
      <w:start w:val="1"/>
      <w:numFmt w:val="lowerRoman"/>
      <w:lvlText w:val="%9."/>
      <w:lvlJc w:val="left"/>
      <w:pPr>
        <w:ind w:left="684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45B7B"/>
    <w:multiLevelType w:val="hybridMultilevel"/>
    <w:tmpl w:val="619029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24"/>
  </w:num>
  <w:num w:numId="11">
    <w:abstractNumId w:val="13"/>
  </w:num>
  <w:num w:numId="12">
    <w:abstractNumId w:val="14"/>
  </w:num>
  <w:num w:numId="13">
    <w:abstractNumId w:val="19"/>
  </w:num>
  <w:num w:numId="14">
    <w:abstractNumId w:val="27"/>
  </w:num>
  <w:num w:numId="15">
    <w:abstractNumId w:val="27"/>
    <w:lvlOverride w:ilvl="0">
      <w:startOverride w:val="1"/>
    </w:lvlOverride>
  </w:num>
  <w:num w:numId="16">
    <w:abstractNumId w:val="6"/>
  </w:num>
  <w:num w:numId="17">
    <w:abstractNumId w:val="4"/>
  </w:num>
  <w:num w:numId="18">
    <w:abstractNumId w:val="14"/>
  </w:num>
  <w:num w:numId="19">
    <w:abstractNumId w:val="14"/>
  </w:num>
  <w:num w:numId="20">
    <w:abstractNumId w:val="18"/>
  </w:num>
  <w:num w:numId="21">
    <w:abstractNumId w:val="14"/>
  </w:num>
  <w:num w:numId="22">
    <w:abstractNumId w:val="3"/>
  </w:num>
  <w:num w:numId="23">
    <w:abstractNumId w:val="20"/>
  </w:num>
  <w:num w:numId="24">
    <w:abstractNumId w:val="8"/>
  </w:num>
  <w:num w:numId="25">
    <w:abstractNumId w:val="17"/>
  </w:num>
  <w:num w:numId="26">
    <w:abstractNumId w:val="30"/>
  </w:num>
  <w:num w:numId="27">
    <w:abstractNumId w:val="29"/>
  </w:num>
  <w:num w:numId="28">
    <w:abstractNumId w:val="25"/>
  </w:num>
  <w:num w:numId="29">
    <w:abstractNumId w:val="0"/>
  </w:num>
  <w:num w:numId="30">
    <w:abstractNumId w:val="21"/>
  </w:num>
  <w:num w:numId="31">
    <w:abstractNumId w:val="23"/>
  </w:num>
  <w:num w:numId="32">
    <w:abstractNumId w:val="22"/>
  </w:num>
  <w:num w:numId="33">
    <w:abstractNumId w:val="15"/>
  </w:num>
  <w:num w:numId="34">
    <w:abstractNumId w:val="16"/>
  </w:num>
  <w:num w:numId="35">
    <w:abstractNumId w:val="11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443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4A7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674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D59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52D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15E"/>
    <w:rsid w:val="002359AF"/>
    <w:rsid w:val="002373C8"/>
    <w:rsid w:val="0024009F"/>
    <w:rsid w:val="00240D4B"/>
    <w:rsid w:val="00240F7D"/>
    <w:rsid w:val="00241AA2"/>
    <w:rsid w:val="0024292F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0842"/>
    <w:rsid w:val="00263382"/>
    <w:rsid w:val="00263D67"/>
    <w:rsid w:val="00263DB1"/>
    <w:rsid w:val="002644E5"/>
    <w:rsid w:val="00265E2B"/>
    <w:rsid w:val="002665ED"/>
    <w:rsid w:val="00266AB2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5BA7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978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14BB"/>
    <w:rsid w:val="004620BB"/>
    <w:rsid w:val="00462A2C"/>
    <w:rsid w:val="004632C0"/>
    <w:rsid w:val="004633CF"/>
    <w:rsid w:val="00463CC5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5F58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55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4D13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5AB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361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131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119"/>
    <w:rsid w:val="008036F1"/>
    <w:rsid w:val="008040C9"/>
    <w:rsid w:val="00804539"/>
    <w:rsid w:val="00804EAC"/>
    <w:rsid w:val="0080627A"/>
    <w:rsid w:val="0080733D"/>
    <w:rsid w:val="00807D28"/>
    <w:rsid w:val="00807F1F"/>
    <w:rsid w:val="0081175C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3E26"/>
    <w:rsid w:val="00823E50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3152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0352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0B64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2FAC"/>
    <w:rsid w:val="008D37E8"/>
    <w:rsid w:val="008D4133"/>
    <w:rsid w:val="008D5791"/>
    <w:rsid w:val="008D59BB"/>
    <w:rsid w:val="008D5D75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1A11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19D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044D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87B20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355D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100C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158E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887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A7F70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0A67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C80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635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3DA1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6764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8D0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  <w:style w:type="paragraph" w:customStyle="1" w:styleId="Default">
    <w:name w:val="Default"/>
    <w:rsid w:val="00E36764"/>
    <w:pPr>
      <w:autoSpaceDE w:val="0"/>
      <w:autoSpaceDN w:val="0"/>
      <w:adjustRightInd w:val="0"/>
    </w:pPr>
    <w:rPr>
      <w:rFonts w:ascii="DIN-Medium" w:hAnsi="DIN-Medium" w:cs="DIN-Medium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Ald%25C3%25A9hyde" TargetMode="External"/><Relationship Id="rId13" Type="http://schemas.openxmlformats.org/officeDocument/2006/relationships/hyperlink" Target="https://fr.wikipedia.org/wiki/Italie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r.wikipedia.org/wiki/Chimist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fr.wikipedia.org/wiki/Ur%25C3%25A9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fr.wikipedia.org/wiki/Benzald%25C3%25A9hyd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fr.wikipedia.org/wiki/Compos%25C3%25A9_aromatique" TargetMode="External"/><Relationship Id="rId14" Type="http://schemas.openxmlformats.org/officeDocument/2006/relationships/hyperlink" Target="https://fr.wikipedia.org/wiki/Pietro_Biginell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22</TotalTime>
  <Pages>3</Pages>
  <Words>752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14</cp:revision>
  <dcterms:created xsi:type="dcterms:W3CDTF">2017-05-11T06:56:00Z</dcterms:created>
  <dcterms:modified xsi:type="dcterms:W3CDTF">2019-04-26T14:12:00Z</dcterms:modified>
</cp:coreProperties>
</file>